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CC" w:rsidRDefault="001923A6" w:rsidP="00705BBA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（様式２）</w:t>
      </w:r>
    </w:p>
    <w:p w:rsidR="001923A6" w:rsidRPr="00344ECC" w:rsidRDefault="00D62B94" w:rsidP="00D62B94">
      <w:pPr>
        <w:spacing w:beforeLines="50" w:before="157" w:afterLines="50" w:after="157"/>
        <w:ind w:right="840"/>
        <w:jc w:val="center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 w:rsidR="001923A6" w:rsidRPr="001923A6">
        <w:rPr>
          <w:rFonts w:asciiTheme="minorEastAsia" w:eastAsiaTheme="minorEastAsia" w:hAnsiTheme="minorEastAsia" w:hint="eastAsia"/>
          <w:color w:val="000000"/>
          <w:sz w:val="24"/>
        </w:rPr>
        <w:t>かがわ働き方改革推進大賞　選考資料</w:t>
      </w:r>
    </w:p>
    <w:p w:rsidR="00705BBA" w:rsidRDefault="00D62B94" w:rsidP="00D62B94">
      <w:pPr>
        <w:spacing w:beforeLines="50" w:before="157" w:afterLines="50" w:after="157"/>
        <w:ind w:right="423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１．働き方改革を推進するために重点的に実施しているアピールポイントや取組みについて記載し</w:t>
      </w:r>
      <w:r w:rsidRPr="00D62B94">
        <w:rPr>
          <w:rFonts w:asciiTheme="minorEastAsia" w:eastAsiaTheme="minorEastAsia" w:hAnsiTheme="minorEastAsia" w:hint="eastAsia"/>
          <w:color w:val="000000"/>
        </w:rPr>
        <w:t>てください。※記載必須（1200字以内）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62B94" w:rsidTr="00D62B94">
        <w:trPr>
          <w:trHeight w:val="9584"/>
        </w:trPr>
        <w:tc>
          <w:tcPr>
            <w:tcW w:w="9736" w:type="dxa"/>
          </w:tcPr>
          <w:p w:rsidR="00D62B94" w:rsidRDefault="00D62B94" w:rsidP="001923A6">
            <w:pPr>
              <w:spacing w:beforeLines="50" w:before="157" w:afterLines="50" w:after="157"/>
              <w:ind w:right="84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75215" w:rsidRDefault="00B75215" w:rsidP="001923A6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</w:p>
    <w:p w:rsidR="00B75215" w:rsidRDefault="00B75215" w:rsidP="001923A6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</w:p>
    <w:p w:rsidR="00B75215" w:rsidRDefault="00B75215" w:rsidP="001923A6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</w:p>
    <w:p w:rsidR="00B75215" w:rsidRDefault="00B75215" w:rsidP="001923A6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</w:p>
    <w:p w:rsidR="00B75215" w:rsidRDefault="00B75215" w:rsidP="001923A6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</w:p>
    <w:p w:rsidR="001923A6" w:rsidRDefault="001923A6" w:rsidP="001923A6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lastRenderedPageBreak/>
        <w:t>（様式２）</w:t>
      </w:r>
    </w:p>
    <w:p w:rsidR="001923A6" w:rsidRDefault="001923A6" w:rsidP="007C53BB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</w:t>
      </w:r>
      <w:r w:rsidRPr="001923A6">
        <w:rPr>
          <w:rFonts w:asciiTheme="minorEastAsia" w:eastAsiaTheme="minorEastAsia" w:hAnsiTheme="minorEastAsia" w:hint="eastAsia"/>
          <w:color w:val="000000"/>
          <w:sz w:val="24"/>
        </w:rPr>
        <w:t>かがわ働き方改革推進大賞　選考資料</w:t>
      </w:r>
    </w:p>
    <w:p w:rsidR="00981FFC" w:rsidRDefault="00D07CA9" w:rsidP="007C53BB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２</w:t>
      </w:r>
      <w:r w:rsidR="00981FFC" w:rsidRPr="00981FFC">
        <w:rPr>
          <w:rFonts w:asciiTheme="minorEastAsia" w:eastAsiaTheme="minorEastAsia" w:hAnsiTheme="minorEastAsia" w:hint="eastAsia"/>
          <w:color w:val="000000"/>
        </w:rPr>
        <w:t>．現状実施できている働き方改革</w:t>
      </w:r>
      <w:r w:rsidR="00EE6681">
        <w:rPr>
          <w:rFonts w:asciiTheme="minorEastAsia" w:eastAsiaTheme="minorEastAsia" w:hAnsiTheme="minorEastAsia" w:hint="eastAsia"/>
          <w:color w:val="000000"/>
        </w:rPr>
        <w:t>の取組み</w:t>
      </w:r>
      <w:r w:rsidR="00D62B94">
        <w:rPr>
          <w:rFonts w:asciiTheme="minorEastAsia" w:eastAsiaTheme="minorEastAsia" w:hAnsiTheme="minorEastAsia" w:hint="eastAsia"/>
          <w:color w:val="000000"/>
        </w:rPr>
        <w:t>等</w:t>
      </w:r>
    </w:p>
    <w:tbl>
      <w:tblPr>
        <w:tblW w:w="97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4670"/>
        <w:gridCol w:w="858"/>
        <w:gridCol w:w="3820"/>
      </w:tblGrid>
      <w:tr w:rsidR="00D07CA9" w:rsidRPr="00981FFC" w:rsidTr="00D62B94">
        <w:trPr>
          <w:trHeight w:val="52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CA9" w:rsidRPr="00981FFC" w:rsidRDefault="00D07CA9" w:rsidP="00981FF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981FF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81F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審査基準</w:t>
            </w:r>
          </w:p>
        </w:tc>
        <w:tc>
          <w:tcPr>
            <w:tcW w:w="8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A9" w:rsidRPr="00981FFC" w:rsidRDefault="00D07CA9" w:rsidP="00981FF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1332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実績の有無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CA9" w:rsidRPr="00981FFC" w:rsidRDefault="00D07CA9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提出書類</w:t>
            </w:r>
            <w:r w:rsidR="00EE668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等</w:t>
            </w:r>
          </w:p>
        </w:tc>
      </w:tr>
      <w:tr w:rsidR="00D07CA9" w:rsidRPr="00981FFC" w:rsidTr="00D62B94">
        <w:trPr>
          <w:trHeight w:val="520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981FF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81F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A9" w:rsidRPr="00981FFC" w:rsidRDefault="00D07CA9" w:rsidP="007055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長時間労働の是正のために</w:t>
            </w:r>
            <w:r w:rsidR="0070557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ノー残業デー</w:t>
            </w:r>
            <w:r w:rsidR="003D70A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など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の取組</w:t>
            </w:r>
            <w:r w:rsidR="0031332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み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を実施している。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3A6" w:rsidRDefault="001923A6" w:rsidP="00E3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取組み内容のわかる資料</w:t>
            </w:r>
          </w:p>
          <w:p w:rsidR="00D07CA9" w:rsidRPr="00981FFC" w:rsidRDefault="00DF72C4" w:rsidP="00E3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(社内報、掲示物など取組み</w:t>
            </w:r>
            <w:r w:rsidR="00D07CA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のわかるもの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)</w:t>
            </w:r>
          </w:p>
        </w:tc>
      </w:tr>
      <w:tr w:rsidR="00D07CA9" w:rsidRPr="00981FFC" w:rsidTr="00D62B94">
        <w:trPr>
          <w:trHeight w:val="520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981FF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81F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A9" w:rsidRPr="00981FFC" w:rsidRDefault="00705575" w:rsidP="00D07C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テレワークや</w:t>
            </w:r>
            <w:r w:rsidR="00D07CA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時差出勤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といった</w:t>
            </w:r>
            <w:r w:rsidR="00D07CA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柔軟な働き方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ができる取組</w:t>
            </w:r>
            <w:r w:rsidR="0031332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み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を実施</w:t>
            </w:r>
            <w:r w:rsidR="003D70A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している</w:t>
            </w:r>
            <w:r w:rsidR="00D07CA9" w:rsidRPr="00981F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3D70A5" w:rsidRDefault="00D07CA9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2C4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取組み内容のわかる資料</w:t>
            </w:r>
          </w:p>
          <w:p w:rsidR="00D07CA9" w:rsidRPr="00981FFC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</w:t>
            </w:r>
            <w:r w:rsidR="003F36C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就業規則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など取組みのわかるもの)</w:t>
            </w:r>
          </w:p>
        </w:tc>
      </w:tr>
      <w:tr w:rsidR="00D07CA9" w:rsidRPr="00981FFC" w:rsidTr="00D62B94">
        <w:trPr>
          <w:trHeight w:val="520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981FF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81F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A9" w:rsidRPr="00981FFC" w:rsidRDefault="003D70A5" w:rsidP="00981FF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育児や介護等と仕事が両立できるように、各種休業、休暇制度について</w:t>
            </w:r>
            <w:r w:rsidR="00194602" w:rsidRPr="001B246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事業所</w:t>
            </w:r>
            <w:r w:rsidR="001B2468" w:rsidRPr="001B246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内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での普及啓発を実施している。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2C4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取組み内容のわかる資料</w:t>
            </w:r>
          </w:p>
          <w:p w:rsidR="00D07CA9" w:rsidRPr="00981FFC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(社内報、掲示物など取組みのわかるもの)</w:t>
            </w:r>
          </w:p>
        </w:tc>
      </w:tr>
      <w:tr w:rsidR="00D07CA9" w:rsidRPr="00981FFC" w:rsidTr="00D62B94">
        <w:trPr>
          <w:trHeight w:val="520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981FF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81F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A9" w:rsidRPr="00981FFC" w:rsidRDefault="00C5104E" w:rsidP="00981FF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女性・若者が活躍しやすい職場環境のために、育児休業後の復職支援や業務のフォロー体制ができるような取組</w:t>
            </w:r>
            <w:r w:rsidR="0031332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み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を実施している。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2C4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取組み内容のわかる資料</w:t>
            </w:r>
          </w:p>
          <w:p w:rsidR="00D07CA9" w:rsidRPr="00981FFC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(社内報、掲示物など取組みのわかるもの)</w:t>
            </w:r>
          </w:p>
        </w:tc>
      </w:tr>
      <w:tr w:rsidR="00D07CA9" w:rsidRPr="00C5104E" w:rsidTr="00D62B94">
        <w:trPr>
          <w:trHeight w:val="520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E501D5" w:rsidP="00981FF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5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A9" w:rsidRPr="00981FFC" w:rsidRDefault="00C5104E" w:rsidP="007055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非正規雇用の</w:t>
            </w:r>
            <w:r w:rsidR="0070557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待遇改善のための取組</w:t>
            </w:r>
            <w:r w:rsidR="0031332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み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を実施している。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2C4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取組み内容のわかる資料</w:t>
            </w:r>
          </w:p>
          <w:p w:rsidR="00D07CA9" w:rsidRPr="00981FFC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(過去の実例などの取組みのわかるもの)</w:t>
            </w:r>
          </w:p>
        </w:tc>
      </w:tr>
      <w:tr w:rsidR="00D07CA9" w:rsidRPr="00981FFC" w:rsidTr="00D62B94">
        <w:trPr>
          <w:trHeight w:val="487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E501D5" w:rsidP="00981FF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A9" w:rsidRPr="00981FFC" w:rsidRDefault="00C5104E" w:rsidP="00981FF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ICT</w:t>
            </w:r>
            <w:r w:rsidR="00F53642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の利用</w:t>
            </w:r>
            <w:r w:rsidR="008A62A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や</w:t>
            </w:r>
            <w:r w:rsidR="0031332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整理整頓等の３Ｓ活動での業務の見直しによる</w:t>
            </w:r>
            <w:r w:rsidR="00F53642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労働生産性の</w:t>
            </w:r>
            <w:r w:rsidR="008A62A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向上に向けての取組</w:t>
            </w:r>
            <w:r w:rsidR="0031332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み</w:t>
            </w:r>
            <w:r w:rsidR="008A62A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を実施している。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2C4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取組み内容のわかる資料</w:t>
            </w:r>
          </w:p>
          <w:p w:rsidR="00D07CA9" w:rsidRPr="00981FFC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(社内報、掲示物など取組みのわかるもの)</w:t>
            </w:r>
          </w:p>
        </w:tc>
      </w:tr>
      <w:tr w:rsidR="00D07CA9" w:rsidRPr="00981FFC" w:rsidTr="00D62B94">
        <w:trPr>
          <w:trHeight w:val="551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E501D5" w:rsidP="00981FF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7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A9" w:rsidRPr="00981FFC" w:rsidRDefault="00E311C2" w:rsidP="00981FF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外国人材受入の</w:t>
            </w:r>
            <w:r w:rsidR="008A62A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ための取組</w:t>
            </w:r>
            <w:r w:rsidR="0031332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み</w:t>
            </w:r>
            <w:r w:rsidR="008A62A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を実施している。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2C4" w:rsidRDefault="00DF72C4" w:rsidP="00E3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取組み内容のわかる資料</w:t>
            </w:r>
          </w:p>
          <w:p w:rsidR="00D07CA9" w:rsidRPr="00981FFC" w:rsidRDefault="00DF72C4" w:rsidP="00E311C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</w:t>
            </w:r>
            <w:r w:rsidR="008A62A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組織図、募集資料などの取組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み</w:t>
            </w:r>
            <w:r w:rsidR="008A62A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のわかるもの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)</w:t>
            </w:r>
          </w:p>
        </w:tc>
      </w:tr>
      <w:tr w:rsidR="00D07CA9" w:rsidRPr="00981FFC" w:rsidTr="00D62B94">
        <w:trPr>
          <w:trHeight w:val="559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E501D5" w:rsidP="00981FF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8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A9" w:rsidRPr="00981FFC" w:rsidRDefault="0031332A" w:rsidP="00981FF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人材の質を高めるために、</w:t>
            </w:r>
            <w:r w:rsidR="006A6C26" w:rsidRPr="001B2468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労働者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の</w:t>
            </w:r>
            <w:r w:rsidR="008A62A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教育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、研修及び資格取得補助</w:t>
            </w:r>
            <w:r w:rsidR="008A62A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などの人材育成に取り組んでいる。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2C4" w:rsidRPr="00DF72C4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取組み内容のわかる資料</w:t>
            </w:r>
          </w:p>
          <w:p w:rsidR="008A62AD" w:rsidRPr="00981FFC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(社内報、掲示物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、過去の実例</w:t>
            </w: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など取組みのわかるもの)</w:t>
            </w:r>
          </w:p>
        </w:tc>
      </w:tr>
      <w:tr w:rsidR="00D07CA9" w:rsidRPr="00981FFC" w:rsidTr="00D62B94">
        <w:trPr>
          <w:trHeight w:val="551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E501D5" w:rsidP="00981FF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A9" w:rsidRPr="00981FFC" w:rsidRDefault="008A62AD" w:rsidP="00981FF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定年延長や再雇用を活用して、高齢者の就業促進につながる</w:t>
            </w:r>
            <w:r w:rsidR="005A34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</w:t>
            </w:r>
            <w:r w:rsidR="0031332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み</w:t>
            </w:r>
            <w:r w:rsidR="005A34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を実施している。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2C4" w:rsidRPr="00DF72C4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取組み内容のわかる資料</w:t>
            </w:r>
          </w:p>
          <w:p w:rsidR="00D07CA9" w:rsidRPr="00981FFC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(社内報、掲示物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、過去の実例</w:t>
            </w: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など取組みのわかるもの)</w:t>
            </w:r>
          </w:p>
        </w:tc>
      </w:tr>
      <w:tr w:rsidR="00D07CA9" w:rsidRPr="00981FFC" w:rsidTr="00D62B94">
        <w:trPr>
          <w:trHeight w:val="520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3F02A1" w:rsidP="00E501D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1</w:t>
            </w:r>
            <w:r w:rsidR="00E501D5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CA9" w:rsidRPr="00981FFC" w:rsidRDefault="008A62AD" w:rsidP="00981FF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副業、兼業を推進する取組</w:t>
            </w:r>
            <w:r w:rsidR="0031332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み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を実施している</w:t>
            </w:r>
            <w:r w:rsidR="00D07CA9" w:rsidRPr="00981FF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CA9" w:rsidRPr="00981FFC" w:rsidRDefault="00D07CA9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2C4" w:rsidRPr="00DF72C4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取組み内容のわかる資料</w:t>
            </w:r>
          </w:p>
          <w:p w:rsidR="00D07CA9" w:rsidRPr="00981FFC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(社内報、掲示物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、過去の実例</w:t>
            </w: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など取組みのわかるもの)</w:t>
            </w:r>
          </w:p>
        </w:tc>
      </w:tr>
      <w:tr w:rsidR="003B036A" w:rsidRPr="00981FFC" w:rsidTr="00D62B94">
        <w:trPr>
          <w:trHeight w:val="1677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6A" w:rsidRPr="00981FFC" w:rsidRDefault="003B036A" w:rsidP="00E501D5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1</w:t>
            </w:r>
            <w:r w:rsidR="00E501D5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36A" w:rsidRDefault="003B036A" w:rsidP="00981FF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その他</w:t>
            </w:r>
            <w:r w:rsidR="0004564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重点的に実施している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働き方改革</w:t>
            </w:r>
            <w:r w:rsidR="0004564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の取組みがある。</w:t>
            </w:r>
          </w:p>
          <w:p w:rsidR="00DF72C4" w:rsidRDefault="00DF72C4" w:rsidP="00981FF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  <w:bdr w:val="single" w:sz="4" w:space="0" w:color="auto"/>
              </w:rPr>
              <w:t>具体的な内容</w:t>
            </w:r>
          </w:p>
          <w:p w:rsidR="00773AC7" w:rsidRDefault="003F36C7" w:rsidP="00981FF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88265</wp:posOffset>
                      </wp:positionV>
                      <wp:extent cx="2825750" cy="228600"/>
                      <wp:effectExtent l="0" t="0" r="127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BC3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55pt;margin-top:6.95pt;width:22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" strokecolor="black [3040]"/>
                  </w:pict>
                </mc:Fallback>
              </mc:AlternateConten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36A" w:rsidRPr="00981FFC" w:rsidRDefault="003B036A" w:rsidP="00D07CA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2C4" w:rsidRPr="00DF72C4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取組み内容のわかる資料</w:t>
            </w:r>
          </w:p>
          <w:p w:rsidR="003B036A" w:rsidRPr="008A62AD" w:rsidRDefault="00DF72C4" w:rsidP="00DF72C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(社内報、掲示物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、過去の実例</w:t>
            </w:r>
            <w:r w:rsidRPr="00DF72C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など取組みのわかるもの)</w:t>
            </w:r>
          </w:p>
        </w:tc>
      </w:tr>
    </w:tbl>
    <w:p w:rsidR="00B75215" w:rsidRDefault="00B75215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sectPr w:rsidR="00B75215" w:rsidSect="00D62B94">
      <w:pgSz w:w="11906" w:h="16838" w:code="9"/>
      <w:pgMar w:top="1440" w:right="1080" w:bottom="1440" w:left="108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8E" w:rsidRDefault="00D44B8E">
      <w:r>
        <w:separator/>
      </w:r>
    </w:p>
  </w:endnote>
  <w:endnote w:type="continuationSeparator" w:id="0">
    <w:p w:rsidR="00D44B8E" w:rsidRDefault="00D4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8E" w:rsidRDefault="00D44B8E">
      <w:r>
        <w:separator/>
      </w:r>
    </w:p>
  </w:footnote>
  <w:footnote w:type="continuationSeparator" w:id="0">
    <w:p w:rsidR="00D44B8E" w:rsidRDefault="00D4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A3B"/>
    <w:multiLevelType w:val="hybridMultilevel"/>
    <w:tmpl w:val="000649CE"/>
    <w:lvl w:ilvl="0" w:tplc="A6442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F4678"/>
    <w:multiLevelType w:val="hybridMultilevel"/>
    <w:tmpl w:val="3E3E57E8"/>
    <w:lvl w:ilvl="0" w:tplc="99AA8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861EC"/>
    <w:multiLevelType w:val="hybridMultilevel"/>
    <w:tmpl w:val="FA2E388C"/>
    <w:lvl w:ilvl="0" w:tplc="FA60D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595EF8"/>
    <w:multiLevelType w:val="hybridMultilevel"/>
    <w:tmpl w:val="FD7623DA"/>
    <w:lvl w:ilvl="0" w:tplc="7032B1C8">
      <w:start w:val="2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97E87"/>
    <w:multiLevelType w:val="hybridMultilevel"/>
    <w:tmpl w:val="E0FCB75E"/>
    <w:lvl w:ilvl="0" w:tplc="4378E3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EC"/>
    <w:rsid w:val="0000048D"/>
    <w:rsid w:val="000048D2"/>
    <w:rsid w:val="00026BBD"/>
    <w:rsid w:val="0004230E"/>
    <w:rsid w:val="00045647"/>
    <w:rsid w:val="00083158"/>
    <w:rsid w:val="0008747E"/>
    <w:rsid w:val="000918EE"/>
    <w:rsid w:val="000C1959"/>
    <w:rsid w:val="000C7A39"/>
    <w:rsid w:val="000E56B9"/>
    <w:rsid w:val="00103B8E"/>
    <w:rsid w:val="001068E2"/>
    <w:rsid w:val="00111385"/>
    <w:rsid w:val="001335D7"/>
    <w:rsid w:val="00143D40"/>
    <w:rsid w:val="00143E1B"/>
    <w:rsid w:val="00161F2E"/>
    <w:rsid w:val="00177EBE"/>
    <w:rsid w:val="0018320F"/>
    <w:rsid w:val="001923A6"/>
    <w:rsid w:val="00192C9E"/>
    <w:rsid w:val="00194602"/>
    <w:rsid w:val="001A5A07"/>
    <w:rsid w:val="001B2468"/>
    <w:rsid w:val="001D2A10"/>
    <w:rsid w:val="001E12D8"/>
    <w:rsid w:val="0020749D"/>
    <w:rsid w:val="00210359"/>
    <w:rsid w:val="0022419B"/>
    <w:rsid w:val="0024266A"/>
    <w:rsid w:val="0024414E"/>
    <w:rsid w:val="00263262"/>
    <w:rsid w:val="0026474F"/>
    <w:rsid w:val="00281449"/>
    <w:rsid w:val="00292C94"/>
    <w:rsid w:val="002A0120"/>
    <w:rsid w:val="002A2C12"/>
    <w:rsid w:val="002B318D"/>
    <w:rsid w:val="002D434D"/>
    <w:rsid w:val="002F68A8"/>
    <w:rsid w:val="00301193"/>
    <w:rsid w:val="0030155E"/>
    <w:rsid w:val="0031332A"/>
    <w:rsid w:val="00315B14"/>
    <w:rsid w:val="00317096"/>
    <w:rsid w:val="00342175"/>
    <w:rsid w:val="00344ECC"/>
    <w:rsid w:val="003454F4"/>
    <w:rsid w:val="00353B37"/>
    <w:rsid w:val="00356C33"/>
    <w:rsid w:val="0038380E"/>
    <w:rsid w:val="00390A7D"/>
    <w:rsid w:val="003A04EC"/>
    <w:rsid w:val="003A568E"/>
    <w:rsid w:val="003B036A"/>
    <w:rsid w:val="003B3711"/>
    <w:rsid w:val="003D15E3"/>
    <w:rsid w:val="003D70A5"/>
    <w:rsid w:val="003E1A08"/>
    <w:rsid w:val="003F02A1"/>
    <w:rsid w:val="003F36C7"/>
    <w:rsid w:val="00423C0B"/>
    <w:rsid w:val="004270CB"/>
    <w:rsid w:val="00427690"/>
    <w:rsid w:val="00430AEF"/>
    <w:rsid w:val="00443CF0"/>
    <w:rsid w:val="0046143A"/>
    <w:rsid w:val="00480E4C"/>
    <w:rsid w:val="004B635E"/>
    <w:rsid w:val="004E0D4C"/>
    <w:rsid w:val="004E6251"/>
    <w:rsid w:val="005029E1"/>
    <w:rsid w:val="00510CE1"/>
    <w:rsid w:val="005128A8"/>
    <w:rsid w:val="00515D47"/>
    <w:rsid w:val="005315E8"/>
    <w:rsid w:val="00533EEA"/>
    <w:rsid w:val="005356B1"/>
    <w:rsid w:val="00573397"/>
    <w:rsid w:val="0057467D"/>
    <w:rsid w:val="005A3483"/>
    <w:rsid w:val="005A6E53"/>
    <w:rsid w:val="005B1C7C"/>
    <w:rsid w:val="005B61B4"/>
    <w:rsid w:val="005C05BA"/>
    <w:rsid w:val="005D186E"/>
    <w:rsid w:val="005D1AAB"/>
    <w:rsid w:val="005E0148"/>
    <w:rsid w:val="006211B8"/>
    <w:rsid w:val="00625970"/>
    <w:rsid w:val="00633A63"/>
    <w:rsid w:val="00641CFF"/>
    <w:rsid w:val="00646B79"/>
    <w:rsid w:val="0069756A"/>
    <w:rsid w:val="006A47D6"/>
    <w:rsid w:val="006A6822"/>
    <w:rsid w:val="006A6C26"/>
    <w:rsid w:val="006B387B"/>
    <w:rsid w:val="006C223D"/>
    <w:rsid w:val="006C7AE2"/>
    <w:rsid w:val="006D7635"/>
    <w:rsid w:val="00705575"/>
    <w:rsid w:val="00705BBA"/>
    <w:rsid w:val="007118BB"/>
    <w:rsid w:val="007168AB"/>
    <w:rsid w:val="007273B8"/>
    <w:rsid w:val="007277E0"/>
    <w:rsid w:val="0073230F"/>
    <w:rsid w:val="007379E9"/>
    <w:rsid w:val="007524EC"/>
    <w:rsid w:val="0076506C"/>
    <w:rsid w:val="00773AC7"/>
    <w:rsid w:val="00784EA6"/>
    <w:rsid w:val="00790042"/>
    <w:rsid w:val="007A41E1"/>
    <w:rsid w:val="007B345F"/>
    <w:rsid w:val="007C53BB"/>
    <w:rsid w:val="007C55EB"/>
    <w:rsid w:val="007E7B8A"/>
    <w:rsid w:val="0081055F"/>
    <w:rsid w:val="00825A24"/>
    <w:rsid w:val="0083132C"/>
    <w:rsid w:val="0086107E"/>
    <w:rsid w:val="00867868"/>
    <w:rsid w:val="00885DF1"/>
    <w:rsid w:val="008913F8"/>
    <w:rsid w:val="00894EAB"/>
    <w:rsid w:val="008A62AD"/>
    <w:rsid w:val="008D392F"/>
    <w:rsid w:val="008D651E"/>
    <w:rsid w:val="008E41D0"/>
    <w:rsid w:val="008F78E8"/>
    <w:rsid w:val="0090759F"/>
    <w:rsid w:val="00907983"/>
    <w:rsid w:val="00921F49"/>
    <w:rsid w:val="00937E19"/>
    <w:rsid w:val="00946294"/>
    <w:rsid w:val="00946E20"/>
    <w:rsid w:val="00972BEB"/>
    <w:rsid w:val="00981FFC"/>
    <w:rsid w:val="009C21F9"/>
    <w:rsid w:val="009D019C"/>
    <w:rsid w:val="009E79C0"/>
    <w:rsid w:val="00A11549"/>
    <w:rsid w:val="00A2076A"/>
    <w:rsid w:val="00A23AFA"/>
    <w:rsid w:val="00A50097"/>
    <w:rsid w:val="00A529C2"/>
    <w:rsid w:val="00A54A51"/>
    <w:rsid w:val="00A57CF9"/>
    <w:rsid w:val="00A6236D"/>
    <w:rsid w:val="00A638B5"/>
    <w:rsid w:val="00A74F35"/>
    <w:rsid w:val="00A82A73"/>
    <w:rsid w:val="00AC49E6"/>
    <w:rsid w:val="00AC4D6A"/>
    <w:rsid w:val="00AE1B97"/>
    <w:rsid w:val="00B060D5"/>
    <w:rsid w:val="00B10641"/>
    <w:rsid w:val="00B3295C"/>
    <w:rsid w:val="00B43B24"/>
    <w:rsid w:val="00B75215"/>
    <w:rsid w:val="00B765FA"/>
    <w:rsid w:val="00B85817"/>
    <w:rsid w:val="00B91435"/>
    <w:rsid w:val="00B92D68"/>
    <w:rsid w:val="00B97084"/>
    <w:rsid w:val="00BA217E"/>
    <w:rsid w:val="00BA5DB2"/>
    <w:rsid w:val="00BB6153"/>
    <w:rsid w:val="00BB6B4E"/>
    <w:rsid w:val="00BB6DF7"/>
    <w:rsid w:val="00BD06EB"/>
    <w:rsid w:val="00BD1917"/>
    <w:rsid w:val="00BD4E83"/>
    <w:rsid w:val="00BE695D"/>
    <w:rsid w:val="00BF3925"/>
    <w:rsid w:val="00C03AD7"/>
    <w:rsid w:val="00C332F9"/>
    <w:rsid w:val="00C37FF3"/>
    <w:rsid w:val="00C41AE7"/>
    <w:rsid w:val="00C5104E"/>
    <w:rsid w:val="00C6493E"/>
    <w:rsid w:val="00C75427"/>
    <w:rsid w:val="00C8254C"/>
    <w:rsid w:val="00CA2A96"/>
    <w:rsid w:val="00CA62F9"/>
    <w:rsid w:val="00CB456E"/>
    <w:rsid w:val="00D07CA9"/>
    <w:rsid w:val="00D33717"/>
    <w:rsid w:val="00D36B96"/>
    <w:rsid w:val="00D406C2"/>
    <w:rsid w:val="00D44B8E"/>
    <w:rsid w:val="00D62B94"/>
    <w:rsid w:val="00D756CF"/>
    <w:rsid w:val="00D872EB"/>
    <w:rsid w:val="00D91671"/>
    <w:rsid w:val="00D95B3C"/>
    <w:rsid w:val="00DA299E"/>
    <w:rsid w:val="00DB703A"/>
    <w:rsid w:val="00DC0FC3"/>
    <w:rsid w:val="00DE28CB"/>
    <w:rsid w:val="00DF6D27"/>
    <w:rsid w:val="00DF72C4"/>
    <w:rsid w:val="00E311C2"/>
    <w:rsid w:val="00E453D2"/>
    <w:rsid w:val="00E45BA8"/>
    <w:rsid w:val="00E501D5"/>
    <w:rsid w:val="00E6287D"/>
    <w:rsid w:val="00E8158A"/>
    <w:rsid w:val="00E95FA2"/>
    <w:rsid w:val="00EB3202"/>
    <w:rsid w:val="00EC087B"/>
    <w:rsid w:val="00EC1989"/>
    <w:rsid w:val="00EC6E6A"/>
    <w:rsid w:val="00EC6F5F"/>
    <w:rsid w:val="00ED7D67"/>
    <w:rsid w:val="00EE35B1"/>
    <w:rsid w:val="00EE6681"/>
    <w:rsid w:val="00F01781"/>
    <w:rsid w:val="00F074D7"/>
    <w:rsid w:val="00F17833"/>
    <w:rsid w:val="00F33C8C"/>
    <w:rsid w:val="00F40DA1"/>
    <w:rsid w:val="00F53642"/>
    <w:rsid w:val="00F768E3"/>
    <w:rsid w:val="00FA5906"/>
    <w:rsid w:val="00FC6738"/>
    <w:rsid w:val="00FD7E78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6846BED"/>
  <w15:docId w15:val="{F44C0B18-E239-46DB-ABFA-54BB1A3A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B1C7C"/>
    <w:rPr>
      <w:color w:val="0000FF"/>
      <w:u w:val="single"/>
    </w:rPr>
  </w:style>
  <w:style w:type="paragraph" w:styleId="a5">
    <w:name w:val="head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5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20E7C-5519-44C2-83ED-C0A477B7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920</Words>
  <Characters>111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千葉県男女共同参画地域推進員設置要綱（案）</vt:lpstr>
      <vt:lpstr>千葉県男女共同参画地域推進員設置要綱（案）</vt:lpstr>
    </vt:vector>
  </TitlesOfParts>
  <Company>千葉県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千葉県男女共同参画地域推進員設置要綱（案）</dc:title>
  <dc:creator>s.kbysh32</dc:creator>
  <cp:lastModifiedBy>SG15400のC20-2282</cp:lastModifiedBy>
  <cp:revision>5</cp:revision>
  <cp:lastPrinted>2022-09-21T09:13:00Z</cp:lastPrinted>
  <dcterms:created xsi:type="dcterms:W3CDTF">2023-09-14T09:31:00Z</dcterms:created>
  <dcterms:modified xsi:type="dcterms:W3CDTF">2024-09-13T08:28:00Z</dcterms:modified>
</cp:coreProperties>
</file>