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EA744A" w:rsidP="00EE396B">
            <w:pPr>
              <w:pStyle w:val="Default"/>
              <w:rPr>
                <w:rFonts w:ascii="ＭＳ 明朝" w:eastAsia="ＭＳ 明朝" w:hAnsi="ＭＳ 明朝"/>
                <w:sz w:val="21"/>
                <w:szCs w:val="21"/>
              </w:rPr>
            </w:pPr>
            <w:r w:rsidRPr="00EA744A">
              <w:rPr>
                <w:rFonts w:ascii="ＭＳ 明朝" w:eastAsia="ＭＳ 明朝" w:hAnsi="ＭＳ 明朝" w:hint="eastAsia"/>
                <w:sz w:val="21"/>
                <w:szCs w:val="21"/>
              </w:rPr>
              <w:t>香川県長期ごみ処理広域化・集約化計画（仮称）策定に係る基礎調査及び災害廃棄物発生量等推計調査業務</w:t>
            </w:r>
            <w:bookmarkStart w:id="0" w:name="_GoBack"/>
            <w:bookmarkEnd w:id="0"/>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1FF9"/>
    <w:rsid w:val="00022F10"/>
    <w:rsid w:val="00030AEF"/>
    <w:rsid w:val="00031E3C"/>
    <w:rsid w:val="000459E2"/>
    <w:rsid w:val="000658D9"/>
    <w:rsid w:val="00077D5A"/>
    <w:rsid w:val="000A7788"/>
    <w:rsid w:val="000A79B4"/>
    <w:rsid w:val="000D6B26"/>
    <w:rsid w:val="000E1172"/>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BE5282"/>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A744A"/>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BB0B4-74B5-4069-A48D-DC934827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SG14940のC20-2150</cp:lastModifiedBy>
  <cp:revision>5</cp:revision>
  <cp:lastPrinted>2023-09-27T09:45:00Z</cp:lastPrinted>
  <dcterms:created xsi:type="dcterms:W3CDTF">2024-02-20T08:18:00Z</dcterms:created>
  <dcterms:modified xsi:type="dcterms:W3CDTF">2025-09-10T08:46:00Z</dcterms:modified>
</cp:coreProperties>
</file>