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D8" w:rsidRDefault="00E813D8" w:rsidP="001A642A">
      <w:pPr>
        <w:rPr>
          <w:rFonts w:asciiTheme="minorEastAsia" w:hAnsiTheme="minorEastAsia"/>
          <w:sz w:val="22"/>
        </w:rPr>
      </w:pPr>
      <w:r>
        <w:rPr>
          <w:rFonts w:asciiTheme="minorEastAsia" w:hAnsiTheme="minorEastAsia" w:hint="eastAsia"/>
          <w:sz w:val="22"/>
        </w:rPr>
        <w:t>障害福祉サービス</w:t>
      </w:r>
      <w:r w:rsidR="008254F3">
        <w:rPr>
          <w:rFonts w:asciiTheme="minorEastAsia" w:hAnsiTheme="minorEastAsia" w:hint="eastAsia"/>
          <w:sz w:val="22"/>
        </w:rPr>
        <w:t>利用の概要</w:t>
      </w:r>
    </w:p>
    <w:p w:rsidR="00E813D8" w:rsidRDefault="00E813D8" w:rsidP="001A642A">
      <w:pPr>
        <w:rPr>
          <w:rFonts w:asciiTheme="minorEastAsia" w:hAnsiTheme="minorEastAsia"/>
          <w:sz w:val="22"/>
        </w:rPr>
      </w:pPr>
    </w:p>
    <w:p w:rsidR="001A642A" w:rsidRPr="008254F3" w:rsidRDefault="001A642A" w:rsidP="001A642A">
      <w:pPr>
        <w:rPr>
          <w:rFonts w:asciiTheme="minorEastAsia" w:hAnsiTheme="minorEastAsia" w:hint="eastAsia"/>
          <w:b/>
          <w:sz w:val="22"/>
        </w:rPr>
      </w:pPr>
      <w:r w:rsidRPr="008254F3">
        <w:rPr>
          <w:rFonts w:asciiTheme="minorEastAsia" w:hAnsiTheme="minorEastAsia" w:hint="eastAsia"/>
          <w:b/>
          <w:sz w:val="22"/>
        </w:rPr>
        <w:t>■障害福祉サービス利用までの流れ</w:t>
      </w:r>
    </w:p>
    <w:p w:rsidR="001A642A" w:rsidRPr="001A642A" w:rsidRDefault="001A642A" w:rsidP="001A642A">
      <w:pPr>
        <w:rPr>
          <w:rFonts w:asciiTheme="minorEastAsia" w:hAnsiTheme="minorEastAsia" w:hint="eastAsia"/>
          <w:sz w:val="22"/>
        </w:rPr>
      </w:pPr>
      <w:r w:rsidRPr="001A642A">
        <w:rPr>
          <w:rFonts w:asciiTheme="minorEastAsia" w:hAnsiTheme="minorEastAsia" w:hint="eastAsia"/>
          <w:sz w:val="22"/>
        </w:rPr>
        <w:t>（1）</w:t>
      </w:r>
      <w:r w:rsidR="00E813D8" w:rsidRPr="007A650E">
        <w:rPr>
          <w:rFonts w:asciiTheme="minorEastAsia" w:hAnsiTheme="minorEastAsia" w:hint="eastAsia"/>
          <w:sz w:val="22"/>
        </w:rPr>
        <w:t>障害福祉</w:t>
      </w:r>
      <w:r w:rsidRPr="001A642A">
        <w:rPr>
          <w:rFonts w:asciiTheme="minorEastAsia" w:hAnsiTheme="minorEastAsia" w:hint="eastAsia"/>
          <w:sz w:val="22"/>
        </w:rPr>
        <w:t>サービスの利用を希望する方は、市町の窓口に申請し障害支援区分の認定を受けます。</w:t>
      </w:r>
    </w:p>
    <w:p w:rsidR="001A642A" w:rsidRPr="001A642A" w:rsidRDefault="001A642A" w:rsidP="00E813D8">
      <w:pPr>
        <w:ind w:left="424" w:hangingChars="209" w:hanging="424"/>
        <w:rPr>
          <w:rFonts w:asciiTheme="minorEastAsia" w:hAnsiTheme="minorEastAsia" w:hint="eastAsia"/>
          <w:sz w:val="22"/>
        </w:rPr>
      </w:pPr>
      <w:r w:rsidRPr="001A642A">
        <w:rPr>
          <w:rFonts w:asciiTheme="minorEastAsia" w:hAnsiTheme="minorEastAsia" w:hint="eastAsia"/>
          <w:sz w:val="22"/>
        </w:rPr>
        <w:t>（2）市町は、サービスの利用の申請をした方（利用者）に、「指定特定相談支援事業者」が作成する「サービス等利用計画案」の提出を求めます。</w:t>
      </w:r>
    </w:p>
    <w:p w:rsidR="001A642A" w:rsidRPr="001A642A" w:rsidRDefault="001A642A" w:rsidP="00E813D8">
      <w:pPr>
        <w:ind w:firstLineChars="200" w:firstLine="406"/>
        <w:rPr>
          <w:rFonts w:asciiTheme="minorEastAsia" w:hAnsiTheme="minorEastAsia" w:hint="eastAsia"/>
          <w:sz w:val="22"/>
        </w:rPr>
      </w:pPr>
      <w:r w:rsidRPr="001A642A">
        <w:rPr>
          <w:rFonts w:asciiTheme="minorEastAsia" w:hAnsiTheme="minorEastAsia" w:hint="eastAsia"/>
          <w:sz w:val="22"/>
        </w:rPr>
        <w:t>利用者は「サービス等利用計画案」を「指定特定相談支援事業者」で作成し、市町に提出します。</w:t>
      </w:r>
    </w:p>
    <w:p w:rsidR="001A642A" w:rsidRPr="001A642A" w:rsidRDefault="001A642A" w:rsidP="001A642A">
      <w:pPr>
        <w:rPr>
          <w:rFonts w:asciiTheme="minorEastAsia" w:hAnsiTheme="minorEastAsia" w:hint="eastAsia"/>
          <w:sz w:val="22"/>
        </w:rPr>
      </w:pPr>
      <w:r w:rsidRPr="001A642A">
        <w:rPr>
          <w:rFonts w:asciiTheme="minorEastAsia" w:hAnsiTheme="minorEastAsia" w:hint="eastAsia"/>
          <w:sz w:val="22"/>
        </w:rPr>
        <w:t>（3）市町は、提出された計画案や勘案すべき事項を</w:t>
      </w:r>
      <w:r w:rsidR="00E813D8">
        <w:rPr>
          <w:rFonts w:asciiTheme="minorEastAsia" w:hAnsiTheme="minorEastAsia" w:hint="eastAsia"/>
          <w:sz w:val="22"/>
        </w:rPr>
        <w:t>踏まえ</w:t>
      </w:r>
      <w:r w:rsidRPr="001A642A">
        <w:rPr>
          <w:rFonts w:asciiTheme="minorEastAsia" w:hAnsiTheme="minorEastAsia" w:hint="eastAsia"/>
          <w:sz w:val="22"/>
        </w:rPr>
        <w:t>、支給決定します。</w:t>
      </w:r>
    </w:p>
    <w:p w:rsidR="001A642A" w:rsidRPr="001A642A" w:rsidRDefault="001A642A" w:rsidP="001A642A">
      <w:pPr>
        <w:rPr>
          <w:rFonts w:asciiTheme="minorEastAsia" w:hAnsiTheme="minorEastAsia" w:hint="eastAsia"/>
          <w:sz w:val="22"/>
        </w:rPr>
      </w:pPr>
      <w:r w:rsidRPr="001A642A">
        <w:rPr>
          <w:rFonts w:asciiTheme="minorEastAsia" w:hAnsiTheme="minorEastAsia" w:hint="eastAsia"/>
          <w:sz w:val="22"/>
        </w:rPr>
        <w:t>（4）「指定特定相談支援事業者」は、支給決定された後にサービス担当者会議を開催します。</w:t>
      </w:r>
    </w:p>
    <w:p w:rsidR="001A642A" w:rsidRPr="001A642A" w:rsidRDefault="001A642A" w:rsidP="00E813D8">
      <w:pPr>
        <w:ind w:left="424" w:hangingChars="209" w:hanging="424"/>
        <w:rPr>
          <w:rFonts w:asciiTheme="minorEastAsia" w:hAnsiTheme="minorEastAsia" w:hint="eastAsia"/>
          <w:sz w:val="22"/>
        </w:rPr>
      </w:pPr>
      <w:r w:rsidRPr="001A642A">
        <w:rPr>
          <w:rFonts w:asciiTheme="minorEastAsia" w:hAnsiTheme="minorEastAsia" w:hint="eastAsia"/>
          <w:sz w:val="22"/>
        </w:rPr>
        <w:t>（5）</w:t>
      </w:r>
      <w:r w:rsidR="00E813D8" w:rsidRPr="007A650E">
        <w:rPr>
          <w:rFonts w:asciiTheme="minorEastAsia" w:hAnsiTheme="minorEastAsia" w:hint="eastAsia"/>
          <w:sz w:val="22"/>
        </w:rPr>
        <w:t>障害福祉</w:t>
      </w:r>
      <w:r w:rsidRPr="001A642A">
        <w:rPr>
          <w:rFonts w:asciiTheme="minorEastAsia" w:hAnsiTheme="minorEastAsia" w:hint="eastAsia"/>
          <w:sz w:val="22"/>
        </w:rPr>
        <w:t>サービス事業者等との連絡調整を行い、実際に利用する「サービス等利用計画」を作成します。</w:t>
      </w:r>
    </w:p>
    <w:p w:rsidR="007A650E" w:rsidRDefault="001A642A" w:rsidP="001A642A">
      <w:pPr>
        <w:rPr>
          <w:rFonts w:asciiTheme="minorEastAsia" w:hAnsiTheme="minorEastAsia"/>
          <w:sz w:val="22"/>
        </w:rPr>
      </w:pPr>
      <w:r w:rsidRPr="001A642A">
        <w:rPr>
          <w:rFonts w:asciiTheme="minorEastAsia" w:hAnsiTheme="minorEastAsia" w:hint="eastAsia"/>
          <w:sz w:val="22"/>
        </w:rPr>
        <w:t>（6）</w:t>
      </w:r>
      <w:r w:rsidR="00E813D8" w:rsidRPr="007A650E">
        <w:rPr>
          <w:rFonts w:asciiTheme="minorEastAsia" w:hAnsiTheme="minorEastAsia" w:hint="eastAsia"/>
          <w:sz w:val="22"/>
        </w:rPr>
        <w:t>障害福祉</w:t>
      </w:r>
      <w:r w:rsidRPr="001A642A">
        <w:rPr>
          <w:rFonts w:asciiTheme="minorEastAsia" w:hAnsiTheme="minorEastAsia" w:hint="eastAsia"/>
          <w:sz w:val="22"/>
        </w:rPr>
        <w:t>サービス</w:t>
      </w:r>
      <w:r w:rsidR="00E813D8">
        <w:rPr>
          <w:rFonts w:asciiTheme="minorEastAsia" w:hAnsiTheme="minorEastAsia" w:hint="eastAsia"/>
          <w:sz w:val="22"/>
        </w:rPr>
        <w:t>の</w:t>
      </w:r>
      <w:r w:rsidRPr="001A642A">
        <w:rPr>
          <w:rFonts w:asciiTheme="minorEastAsia" w:hAnsiTheme="minorEastAsia" w:hint="eastAsia"/>
          <w:sz w:val="22"/>
        </w:rPr>
        <w:t>利用が開始されます。</w:t>
      </w:r>
    </w:p>
    <w:p w:rsidR="001A642A" w:rsidRDefault="001A642A" w:rsidP="001A642A">
      <w:pPr>
        <w:rPr>
          <w:rFonts w:asciiTheme="minorEastAsia" w:hAnsiTheme="minorEastAsia"/>
          <w:sz w:val="22"/>
        </w:rPr>
      </w:pPr>
    </w:p>
    <w:p w:rsidR="001A642A" w:rsidRPr="007A650E" w:rsidRDefault="001A642A" w:rsidP="001A642A">
      <w:pPr>
        <w:rPr>
          <w:rFonts w:asciiTheme="minorEastAsia" w:hAnsiTheme="minorEastAsia" w:hint="eastAsia"/>
          <w:sz w:val="22"/>
        </w:rPr>
      </w:pPr>
    </w:p>
    <w:p w:rsidR="007A650E" w:rsidRPr="007A650E" w:rsidRDefault="007A650E" w:rsidP="007A650E">
      <w:pPr>
        <w:autoSpaceDE w:val="0"/>
        <w:autoSpaceDN w:val="0"/>
        <w:adjustRightInd w:val="0"/>
        <w:jc w:val="left"/>
        <w:rPr>
          <w:rFonts w:asciiTheme="minorEastAsia" w:hAnsiTheme="minorEastAsia" w:cs="ShinGoPr5-DeBold"/>
          <w:b/>
          <w:bCs/>
          <w:kern w:val="0"/>
          <w:sz w:val="22"/>
        </w:rPr>
      </w:pPr>
      <w:r w:rsidRPr="007A650E">
        <w:rPr>
          <w:rFonts w:asciiTheme="minorEastAsia" w:hAnsiTheme="minorEastAsia" w:cs="ShinGoPr5-DeBold" w:hint="eastAsia"/>
          <w:b/>
          <w:bCs/>
          <w:kern w:val="0"/>
          <w:sz w:val="22"/>
        </w:rPr>
        <w:t>■福祉サービス</w:t>
      </w:r>
      <w:r w:rsidR="008254F3">
        <w:rPr>
          <w:rFonts w:asciiTheme="minorEastAsia" w:hAnsiTheme="minorEastAsia" w:cs="ShinGoPr5-DeBold" w:hint="eastAsia"/>
          <w:b/>
          <w:bCs/>
          <w:kern w:val="0"/>
          <w:sz w:val="22"/>
        </w:rPr>
        <w:t>の種類</w:t>
      </w:r>
    </w:p>
    <w:p w:rsidR="008254F3" w:rsidRDefault="008254F3" w:rsidP="007A650E">
      <w:pPr>
        <w:autoSpaceDE w:val="0"/>
        <w:autoSpaceDN w:val="0"/>
        <w:adjustRightInd w:val="0"/>
        <w:jc w:val="left"/>
        <w:rPr>
          <w:rFonts w:asciiTheme="minorEastAsia" w:hAnsiTheme="minorEastAsia" w:cs="ShinGoPr5-Medium"/>
          <w:kern w:val="0"/>
          <w:sz w:val="22"/>
          <w:bdr w:val="single" w:sz="4" w:space="0" w:color="auto"/>
        </w:rPr>
      </w:pPr>
    </w:p>
    <w:tbl>
      <w:tblPr>
        <w:tblStyle w:val="a3"/>
        <w:tblW w:w="9864" w:type="dxa"/>
        <w:tblLook w:val="04A0" w:firstRow="1" w:lastRow="0" w:firstColumn="1" w:lastColumn="0" w:noHBand="0" w:noVBand="1"/>
      </w:tblPr>
      <w:tblGrid>
        <w:gridCol w:w="582"/>
        <w:gridCol w:w="2674"/>
        <w:gridCol w:w="6608"/>
      </w:tblGrid>
      <w:tr w:rsidR="008254F3" w:rsidRPr="008254F3" w:rsidTr="0001410D">
        <w:tc>
          <w:tcPr>
            <w:tcW w:w="582" w:type="dxa"/>
          </w:tcPr>
          <w:p w:rsidR="008254F3" w:rsidRPr="008254F3" w:rsidRDefault="008254F3" w:rsidP="0001410D">
            <w:pPr>
              <w:autoSpaceDE w:val="0"/>
              <w:autoSpaceDN w:val="0"/>
              <w:adjustRightInd w:val="0"/>
              <w:jc w:val="center"/>
              <w:rPr>
                <w:rFonts w:asciiTheme="minorEastAsia" w:hAnsiTheme="minorEastAsia" w:cs="ShinGoPr5-Medium"/>
                <w:kern w:val="0"/>
                <w:sz w:val="22"/>
              </w:rPr>
            </w:pPr>
          </w:p>
        </w:tc>
        <w:tc>
          <w:tcPr>
            <w:tcW w:w="2674" w:type="dxa"/>
          </w:tcPr>
          <w:p w:rsidR="008254F3" w:rsidRPr="008254F3" w:rsidRDefault="0001410D" w:rsidP="0001410D">
            <w:pPr>
              <w:autoSpaceDE w:val="0"/>
              <w:autoSpaceDN w:val="0"/>
              <w:adjustRightInd w:val="0"/>
              <w:jc w:val="center"/>
              <w:rPr>
                <w:rFonts w:asciiTheme="minorEastAsia" w:hAnsiTheme="minorEastAsia" w:cs="ShinGoPr5-Medium"/>
                <w:kern w:val="0"/>
                <w:sz w:val="22"/>
              </w:rPr>
            </w:pPr>
            <w:r>
              <w:rPr>
                <w:rFonts w:asciiTheme="minorEastAsia" w:hAnsiTheme="minorEastAsia" w:cs="ShinGoPr5-Medium" w:hint="eastAsia"/>
                <w:kern w:val="0"/>
                <w:sz w:val="22"/>
              </w:rPr>
              <w:t>サービス名</w:t>
            </w:r>
          </w:p>
        </w:tc>
        <w:tc>
          <w:tcPr>
            <w:tcW w:w="6608" w:type="dxa"/>
          </w:tcPr>
          <w:p w:rsidR="008254F3" w:rsidRPr="008254F3" w:rsidRDefault="0001410D" w:rsidP="0001410D">
            <w:pPr>
              <w:autoSpaceDE w:val="0"/>
              <w:autoSpaceDN w:val="0"/>
              <w:adjustRightInd w:val="0"/>
              <w:jc w:val="center"/>
              <w:rPr>
                <w:rFonts w:asciiTheme="minorEastAsia" w:hAnsiTheme="minorEastAsia" w:cs="ShinGoPr5-Medium"/>
                <w:kern w:val="0"/>
                <w:sz w:val="22"/>
              </w:rPr>
            </w:pPr>
            <w:r>
              <w:rPr>
                <w:rFonts w:asciiTheme="minorEastAsia" w:hAnsiTheme="minorEastAsia" w:cs="ShinGoPr5-Medium" w:hint="eastAsia"/>
                <w:kern w:val="0"/>
                <w:sz w:val="22"/>
              </w:rPr>
              <w:t>サービス内容</w:t>
            </w:r>
          </w:p>
        </w:tc>
      </w:tr>
      <w:tr w:rsidR="0001410D" w:rsidRPr="008254F3" w:rsidTr="0001410D">
        <w:tc>
          <w:tcPr>
            <w:tcW w:w="582" w:type="dxa"/>
            <w:vMerge w:val="restart"/>
            <w:textDirection w:val="tbRlV"/>
          </w:tcPr>
          <w:p w:rsidR="0001410D" w:rsidRPr="008254F3" w:rsidRDefault="0001410D" w:rsidP="0001410D">
            <w:pPr>
              <w:autoSpaceDE w:val="0"/>
              <w:autoSpaceDN w:val="0"/>
              <w:adjustRightInd w:val="0"/>
              <w:ind w:left="113" w:right="113"/>
              <w:jc w:val="left"/>
              <w:rPr>
                <w:rFonts w:asciiTheme="minorEastAsia" w:hAnsiTheme="minorEastAsia" w:cs="ShinGoPr5-Medium"/>
                <w:kern w:val="0"/>
                <w:sz w:val="22"/>
              </w:rPr>
            </w:pPr>
            <w:r w:rsidRPr="008254F3">
              <w:rPr>
                <w:rFonts w:asciiTheme="minorEastAsia" w:hAnsiTheme="minorEastAsia" w:cs="ShinGoPr5-Medium" w:hint="eastAsia"/>
                <w:kern w:val="0"/>
                <w:sz w:val="22"/>
              </w:rPr>
              <w:t>介護</w:t>
            </w:r>
            <w:r>
              <w:rPr>
                <w:rFonts w:asciiTheme="minorEastAsia" w:hAnsiTheme="minorEastAsia" w:cs="ShinGoPr5-Medium" w:hint="eastAsia"/>
                <w:kern w:val="0"/>
                <w:sz w:val="22"/>
              </w:rPr>
              <w:t>給付</w:t>
            </w: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居宅介護（ホームヘルプ）</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自宅で、入浴、排せつ、食事の介護等を行います。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重度訪問介護</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重度の肢体不自由者又は重度の知的障害若しくは精神障害により、行動上著しい困難を有する人で常に介護を必要とする人に、自宅で、入浴、排せつ、食事の介護、外出時における移動支援などを総合的に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同行援護</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視覚障害により、移動に著しい困難を有する人に、移動に必要な情報の提供（代筆・代読を含む）、移動の援護等の外出支援を行います。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行動援護</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自己判断能力が制限されている人が行動するときに、危険を回避するために必要な支援や外出支援を行います。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重度障害者等包括支援</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介護の必要性がとても高い人に、居宅介護等複数のサービスを包括的に行います。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短期入所（ショートステイ）</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自宅で介護する人が病気の場合などに、短期間、夜間も含め施設で、入浴、排せつ、食事の介護等を行います。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療養介護</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医療と常時介護を必要とする人に、医療機関で機能訓練、療養上の管理、看護、介護及び日常生活の支援を行います。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生活介護</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常に介護を必要とする人に、昼間、入浴、排せつ、食事の介護等を行うとともに、創作的活動又は生産活動の機会を提供します。</w:t>
            </w:r>
          </w:p>
        </w:tc>
      </w:tr>
      <w:tr w:rsidR="0001410D" w:rsidRPr="008254F3" w:rsidTr="0001410D">
        <w:tc>
          <w:tcPr>
            <w:tcW w:w="582" w:type="dxa"/>
            <w:vMerge/>
          </w:tcPr>
          <w:p w:rsidR="0001410D" w:rsidRPr="008254F3" w:rsidRDefault="0001410D" w:rsidP="007A650E">
            <w:pPr>
              <w:autoSpaceDE w:val="0"/>
              <w:autoSpaceDN w:val="0"/>
              <w:adjustRightInd w:val="0"/>
              <w:jc w:val="left"/>
              <w:rPr>
                <w:rFonts w:asciiTheme="minorEastAsia" w:hAnsiTheme="minorEastAsia" w:cs="ShinGoPr5-Medium"/>
                <w:kern w:val="0"/>
                <w:sz w:val="22"/>
              </w:rPr>
            </w:pP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障害者支援施設での夜間ケア等(施設入所支援)</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Medium" w:hint="eastAsia"/>
                <w:kern w:val="0"/>
                <w:sz w:val="22"/>
              </w:rPr>
              <w:t>施設に入所する人に、夜間や休日、入浴、排せつ、食事の介護等を行います。</w:t>
            </w:r>
          </w:p>
        </w:tc>
      </w:tr>
      <w:tr w:rsidR="0001410D" w:rsidRPr="008254F3" w:rsidTr="0001410D">
        <w:tc>
          <w:tcPr>
            <w:tcW w:w="582" w:type="dxa"/>
            <w:vMerge w:val="restart"/>
          </w:tcPr>
          <w:p w:rsidR="0001410D" w:rsidRPr="008254F3" w:rsidRDefault="0001410D" w:rsidP="007A650E">
            <w:pPr>
              <w:autoSpaceDE w:val="0"/>
              <w:autoSpaceDN w:val="0"/>
              <w:adjustRightInd w:val="0"/>
              <w:jc w:val="left"/>
              <w:rPr>
                <w:rFonts w:asciiTheme="minorEastAsia" w:hAnsiTheme="minorEastAsia" w:cs="ShinGoPr5-Medium"/>
                <w:kern w:val="0"/>
                <w:sz w:val="22"/>
              </w:rPr>
            </w:pPr>
            <w:r>
              <w:rPr>
                <w:rFonts w:asciiTheme="minorEastAsia" w:hAnsiTheme="minorEastAsia" w:cs="ShinGoPr5-Medium" w:hint="eastAsia"/>
                <w:kern w:val="0"/>
                <w:sz w:val="22"/>
              </w:rPr>
              <w:t>訓練等給</w:t>
            </w:r>
            <w:r>
              <w:rPr>
                <w:rFonts w:asciiTheme="minorEastAsia" w:hAnsiTheme="minorEastAsia" w:cs="ShinGoPr5-Medium" w:hint="eastAsia"/>
                <w:kern w:val="0"/>
                <w:sz w:val="22"/>
              </w:rPr>
              <w:lastRenderedPageBreak/>
              <w:t>付</w:t>
            </w:r>
          </w:p>
        </w:tc>
        <w:tc>
          <w:tcPr>
            <w:tcW w:w="2674"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Regular" w:hint="eastAsia"/>
                <w:kern w:val="0"/>
                <w:sz w:val="22"/>
              </w:rPr>
              <w:lastRenderedPageBreak/>
              <w:t>自立訓練</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Regular" w:hint="eastAsia"/>
                <w:kern w:val="0"/>
                <w:sz w:val="22"/>
              </w:rPr>
              <w:t>自立した日常生活又は社会生活ができるよう、一定期間、身体機能又は生活能力の向上のために必要な訓練を行います。機能訓練と生活訓練があります。</w:t>
            </w:r>
          </w:p>
        </w:tc>
      </w:tr>
      <w:tr w:rsidR="0001410D" w:rsidRPr="008254F3" w:rsidTr="0001410D">
        <w:tc>
          <w:tcPr>
            <w:tcW w:w="582" w:type="dxa"/>
            <w:vMerge/>
          </w:tcPr>
          <w:p w:rsidR="0001410D" w:rsidRDefault="0001410D" w:rsidP="007A650E">
            <w:pPr>
              <w:autoSpaceDE w:val="0"/>
              <w:autoSpaceDN w:val="0"/>
              <w:adjustRightInd w:val="0"/>
              <w:jc w:val="left"/>
              <w:rPr>
                <w:rFonts w:asciiTheme="minorEastAsia" w:hAnsiTheme="minorEastAsia" w:cs="ShinGoPr5-Medium" w:hint="eastAsia"/>
                <w:kern w:val="0"/>
                <w:sz w:val="22"/>
              </w:rPr>
            </w:pPr>
          </w:p>
        </w:tc>
        <w:tc>
          <w:tcPr>
            <w:tcW w:w="2674" w:type="dxa"/>
          </w:tcPr>
          <w:p w:rsidR="0001410D" w:rsidRPr="007A650E" w:rsidRDefault="0001410D" w:rsidP="007A650E">
            <w:pPr>
              <w:autoSpaceDE w:val="0"/>
              <w:autoSpaceDN w:val="0"/>
              <w:adjustRightInd w:val="0"/>
              <w:jc w:val="left"/>
              <w:rPr>
                <w:rFonts w:asciiTheme="minorEastAsia" w:hAnsiTheme="minorEastAsia" w:cs="ShinGoPr5-Regular" w:hint="eastAsia"/>
                <w:kern w:val="0"/>
                <w:sz w:val="22"/>
              </w:rPr>
            </w:pPr>
            <w:r w:rsidRPr="007A650E">
              <w:rPr>
                <w:rFonts w:asciiTheme="minorEastAsia" w:hAnsiTheme="minorEastAsia" w:cs="ShinGoPr5-Regular" w:hint="eastAsia"/>
                <w:kern w:val="0"/>
                <w:sz w:val="22"/>
              </w:rPr>
              <w:t>就労移行支援</w:t>
            </w:r>
          </w:p>
        </w:tc>
        <w:tc>
          <w:tcPr>
            <w:tcW w:w="6608" w:type="dxa"/>
          </w:tcPr>
          <w:p w:rsidR="0001410D" w:rsidRPr="008254F3" w:rsidRDefault="0001410D" w:rsidP="007A650E">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Regular" w:hint="eastAsia"/>
                <w:kern w:val="0"/>
                <w:sz w:val="22"/>
              </w:rPr>
              <w:t>一般企業等への就労を希望する人に、一定期間、就労に必要な知識及</w:t>
            </w:r>
            <w:r w:rsidRPr="007A650E">
              <w:rPr>
                <w:rFonts w:asciiTheme="minorEastAsia" w:hAnsiTheme="minorEastAsia" w:cs="ShinGoPr5-Regular" w:hint="eastAsia"/>
                <w:kern w:val="0"/>
                <w:sz w:val="22"/>
              </w:rPr>
              <w:lastRenderedPageBreak/>
              <w:t>び能力の向上のために必要な訓練を行います。</w:t>
            </w:r>
          </w:p>
        </w:tc>
      </w:tr>
      <w:tr w:rsidR="0001410D" w:rsidRPr="008254F3" w:rsidTr="0001410D">
        <w:tc>
          <w:tcPr>
            <w:tcW w:w="582" w:type="dxa"/>
            <w:vMerge/>
          </w:tcPr>
          <w:p w:rsidR="0001410D" w:rsidRDefault="0001410D" w:rsidP="007A650E">
            <w:pPr>
              <w:autoSpaceDE w:val="0"/>
              <w:autoSpaceDN w:val="0"/>
              <w:adjustRightInd w:val="0"/>
              <w:jc w:val="left"/>
              <w:rPr>
                <w:rFonts w:asciiTheme="minorEastAsia" w:hAnsiTheme="minorEastAsia" w:cs="ShinGoPr5-Medium" w:hint="eastAsia"/>
                <w:kern w:val="0"/>
                <w:sz w:val="22"/>
              </w:rPr>
            </w:pPr>
          </w:p>
        </w:tc>
        <w:tc>
          <w:tcPr>
            <w:tcW w:w="2674" w:type="dxa"/>
          </w:tcPr>
          <w:p w:rsidR="0001410D" w:rsidRPr="007A650E" w:rsidRDefault="0001410D" w:rsidP="007A650E">
            <w:pPr>
              <w:autoSpaceDE w:val="0"/>
              <w:autoSpaceDN w:val="0"/>
              <w:adjustRightInd w:val="0"/>
              <w:jc w:val="left"/>
              <w:rPr>
                <w:rFonts w:asciiTheme="minorEastAsia" w:hAnsiTheme="minorEastAsia" w:cs="ShinGoPr5-Regular" w:hint="eastAsia"/>
                <w:kern w:val="0"/>
                <w:sz w:val="22"/>
              </w:rPr>
            </w:pPr>
            <w:r w:rsidRPr="007A650E">
              <w:rPr>
                <w:rFonts w:asciiTheme="minorEastAsia" w:hAnsiTheme="minorEastAsia" w:cs="ShinGoPr5-Regular" w:hint="eastAsia"/>
                <w:kern w:val="0"/>
                <w:sz w:val="22"/>
              </w:rPr>
              <w:t>就労継続支援（Ａ型＝雇用型、Ｂ型＝非雇用型）</w:t>
            </w:r>
          </w:p>
        </w:tc>
        <w:tc>
          <w:tcPr>
            <w:tcW w:w="6608" w:type="dxa"/>
          </w:tcPr>
          <w:p w:rsidR="0001410D" w:rsidRPr="007A650E" w:rsidRDefault="0001410D" w:rsidP="008254F3">
            <w:pPr>
              <w:autoSpaceDE w:val="0"/>
              <w:autoSpaceDN w:val="0"/>
              <w:adjustRightInd w:val="0"/>
              <w:ind w:leftChars="100" w:left="193"/>
              <w:jc w:val="left"/>
              <w:rPr>
                <w:rFonts w:asciiTheme="minorEastAsia" w:hAnsiTheme="minorEastAsia" w:cs="ShinGoPr5-Regular"/>
                <w:kern w:val="0"/>
                <w:sz w:val="22"/>
              </w:rPr>
            </w:pPr>
            <w:r w:rsidRPr="007A650E">
              <w:rPr>
                <w:rFonts w:asciiTheme="minorEastAsia" w:hAnsiTheme="minorEastAsia" w:cs="ShinGoPr5-Regular" w:hint="eastAsia"/>
                <w:kern w:val="0"/>
                <w:sz w:val="22"/>
              </w:rPr>
              <w:t>一般企業等での就労が困難な人に、働く場を提供するとともに、知識及び能力の向上のために必要な訓練を行います。</w:t>
            </w:r>
          </w:p>
          <w:p w:rsidR="0001410D" w:rsidRPr="008254F3" w:rsidRDefault="0001410D" w:rsidP="008254F3">
            <w:pPr>
              <w:autoSpaceDE w:val="0"/>
              <w:autoSpaceDN w:val="0"/>
              <w:adjustRightInd w:val="0"/>
              <w:jc w:val="left"/>
              <w:rPr>
                <w:rFonts w:asciiTheme="minorEastAsia" w:hAnsiTheme="minorEastAsia" w:cs="ShinGoPr5-Medium"/>
                <w:kern w:val="0"/>
                <w:sz w:val="22"/>
              </w:rPr>
            </w:pPr>
            <w:r w:rsidRPr="007A650E">
              <w:rPr>
                <w:rFonts w:asciiTheme="minorEastAsia" w:hAnsiTheme="minorEastAsia" w:cs="ShinGoPr5-Regular" w:hint="eastAsia"/>
                <w:kern w:val="0"/>
                <w:sz w:val="22"/>
              </w:rPr>
              <w:t>雇用契約を結ぶＡ型と、雇用契約を結ばないＢ型があります。</w:t>
            </w:r>
          </w:p>
        </w:tc>
      </w:tr>
      <w:tr w:rsidR="0001410D" w:rsidRPr="008254F3" w:rsidTr="0001410D">
        <w:tc>
          <w:tcPr>
            <w:tcW w:w="582" w:type="dxa"/>
            <w:vMerge/>
          </w:tcPr>
          <w:p w:rsidR="0001410D" w:rsidRDefault="0001410D" w:rsidP="007A650E">
            <w:pPr>
              <w:autoSpaceDE w:val="0"/>
              <w:autoSpaceDN w:val="0"/>
              <w:adjustRightInd w:val="0"/>
              <w:jc w:val="left"/>
              <w:rPr>
                <w:rFonts w:asciiTheme="minorEastAsia" w:hAnsiTheme="minorEastAsia" w:cs="ShinGoPr5-Medium" w:hint="eastAsia"/>
                <w:kern w:val="0"/>
                <w:sz w:val="22"/>
              </w:rPr>
            </w:pPr>
          </w:p>
        </w:tc>
        <w:tc>
          <w:tcPr>
            <w:tcW w:w="2674" w:type="dxa"/>
          </w:tcPr>
          <w:p w:rsidR="0001410D" w:rsidRPr="007A650E" w:rsidRDefault="0001410D" w:rsidP="007A650E">
            <w:pPr>
              <w:autoSpaceDE w:val="0"/>
              <w:autoSpaceDN w:val="0"/>
              <w:adjustRightInd w:val="0"/>
              <w:jc w:val="left"/>
              <w:rPr>
                <w:rFonts w:asciiTheme="minorEastAsia" w:hAnsiTheme="minorEastAsia" w:cs="ShinGoPr5-Regular" w:hint="eastAsia"/>
                <w:kern w:val="0"/>
                <w:sz w:val="22"/>
              </w:rPr>
            </w:pPr>
            <w:r w:rsidRPr="007A650E">
              <w:rPr>
                <w:rFonts w:asciiTheme="minorEastAsia" w:hAnsiTheme="minorEastAsia" w:cs="ShinGoPr5-Regular" w:hint="eastAsia"/>
                <w:kern w:val="0"/>
                <w:sz w:val="22"/>
              </w:rPr>
              <w:t>共同生活援助（グループホーム）</w:t>
            </w:r>
          </w:p>
        </w:tc>
        <w:tc>
          <w:tcPr>
            <w:tcW w:w="6608" w:type="dxa"/>
          </w:tcPr>
          <w:p w:rsidR="0001410D" w:rsidRPr="007A650E" w:rsidRDefault="0001410D" w:rsidP="008254F3">
            <w:pPr>
              <w:autoSpaceDE w:val="0"/>
              <w:autoSpaceDN w:val="0"/>
              <w:adjustRightInd w:val="0"/>
              <w:jc w:val="left"/>
              <w:rPr>
                <w:rFonts w:asciiTheme="minorEastAsia" w:hAnsiTheme="minorEastAsia" w:cs="ShinGoPr5-Regular"/>
                <w:kern w:val="0"/>
                <w:sz w:val="22"/>
              </w:rPr>
            </w:pPr>
            <w:r w:rsidRPr="007A650E">
              <w:rPr>
                <w:rFonts w:asciiTheme="minorEastAsia" w:hAnsiTheme="minorEastAsia" w:cs="ShinGoPr5-Regular" w:hint="eastAsia"/>
                <w:kern w:val="0"/>
                <w:sz w:val="22"/>
              </w:rPr>
              <w:t>夜間や休日、共同生活を行う住居で、相談や日常生活上の援助を行います。また、入浴、排せつ、食事の介護等の必要性が認定されている方にはサービスも提供します。</w:t>
            </w:r>
          </w:p>
          <w:p w:rsidR="0001410D" w:rsidRDefault="0001410D" w:rsidP="0001410D">
            <w:pPr>
              <w:autoSpaceDE w:val="0"/>
              <w:autoSpaceDN w:val="0"/>
              <w:adjustRightInd w:val="0"/>
              <w:jc w:val="left"/>
              <w:rPr>
                <w:rFonts w:asciiTheme="minorEastAsia" w:hAnsiTheme="minorEastAsia" w:cs="ShinGoPr5-Regular"/>
                <w:kern w:val="0"/>
                <w:sz w:val="22"/>
              </w:rPr>
            </w:pPr>
            <w:r w:rsidRPr="007A650E">
              <w:rPr>
                <w:rFonts w:asciiTheme="minorEastAsia" w:hAnsiTheme="minorEastAsia" w:cs="ShinGoPr5-Regular" w:hint="eastAsia"/>
                <w:kern w:val="0"/>
                <w:sz w:val="22"/>
              </w:rPr>
              <w:t>さらに、入居者間の交流を保ちながら一人で暮らしたいというニーズに応えるためにサテライト型住居があります。</w:t>
            </w:r>
          </w:p>
          <w:p w:rsidR="0001410D" w:rsidRPr="007A650E" w:rsidRDefault="0001410D" w:rsidP="0001410D">
            <w:pPr>
              <w:autoSpaceDE w:val="0"/>
              <w:autoSpaceDN w:val="0"/>
              <w:adjustRightInd w:val="0"/>
              <w:ind w:left="175" w:hangingChars="86" w:hanging="175"/>
              <w:jc w:val="left"/>
              <w:rPr>
                <w:rFonts w:asciiTheme="minorEastAsia" w:hAnsiTheme="minorEastAsia" w:cs="ShinGoPr5-Regular"/>
                <w:kern w:val="0"/>
                <w:sz w:val="22"/>
              </w:rPr>
            </w:pPr>
            <w:r w:rsidRPr="007A650E">
              <w:rPr>
                <w:rFonts w:asciiTheme="minorEastAsia" w:hAnsiTheme="minorEastAsia" w:cs="ShinGoPr5-Regular" w:hint="eastAsia"/>
                <w:kern w:val="0"/>
                <w:sz w:val="22"/>
              </w:rPr>
              <w:t>※平成26年4月1日から共同生活介護（ケアホーム）はグループホームに一元化されました。</w:t>
            </w:r>
          </w:p>
          <w:p w:rsidR="0001410D" w:rsidRPr="008254F3" w:rsidRDefault="0001410D" w:rsidP="0001410D">
            <w:pPr>
              <w:autoSpaceDE w:val="0"/>
              <w:autoSpaceDN w:val="0"/>
              <w:adjustRightInd w:val="0"/>
              <w:ind w:left="175" w:hangingChars="86" w:hanging="175"/>
              <w:jc w:val="left"/>
              <w:rPr>
                <w:rFonts w:asciiTheme="minorEastAsia" w:hAnsiTheme="minorEastAsia" w:cs="ShinGoPr5-Medium"/>
                <w:kern w:val="0"/>
                <w:sz w:val="22"/>
              </w:rPr>
            </w:pPr>
            <w:r w:rsidRPr="007A650E">
              <w:rPr>
                <w:rFonts w:asciiTheme="minorEastAsia" w:hAnsiTheme="minorEastAsia" w:cs="ShinGoPr5-Regular" w:hint="eastAsia"/>
                <w:kern w:val="0"/>
                <w:sz w:val="22"/>
              </w:rPr>
              <w:t>※サテライト型住居については、早期に単身等での生活が可能であると認められる者の利用が基本となっています。</w:t>
            </w:r>
          </w:p>
        </w:tc>
      </w:tr>
    </w:tbl>
    <w:p w:rsidR="007A650E" w:rsidRDefault="007A650E">
      <w:pPr>
        <w:rPr>
          <w:rFonts w:asciiTheme="minorEastAsia" w:hAnsiTheme="minorEastAsia"/>
          <w:sz w:val="22"/>
        </w:rPr>
      </w:pPr>
    </w:p>
    <w:p w:rsidR="0001410D" w:rsidRDefault="0001410D">
      <w:pPr>
        <w:rPr>
          <w:rFonts w:asciiTheme="minorEastAsia" w:hAnsiTheme="minorEastAsia"/>
          <w:sz w:val="22"/>
        </w:rPr>
      </w:pPr>
    </w:p>
    <w:p w:rsidR="0001410D" w:rsidRPr="007A650E" w:rsidRDefault="0001410D">
      <w:pPr>
        <w:rPr>
          <w:rFonts w:asciiTheme="minorEastAsia" w:hAnsiTheme="minorEastAsia" w:hint="eastAsia"/>
          <w:sz w:val="22"/>
        </w:rPr>
      </w:pPr>
      <w:bookmarkStart w:id="0" w:name="_GoBack"/>
      <w:bookmarkEnd w:id="0"/>
    </w:p>
    <w:sectPr w:rsidR="0001410D" w:rsidRPr="007A650E" w:rsidSect="00B54CB9">
      <w:pgSz w:w="11906" w:h="16838" w:code="9"/>
      <w:pgMar w:top="1134" w:right="1134" w:bottom="1134" w:left="1134" w:header="851" w:footer="992" w:gutter="0"/>
      <w:cols w:space="425"/>
      <w:docGrid w:type="linesAndChars" w:linePitch="36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hinGoPr5-DeBold">
    <w:altName w:val="Arial Unicode MS"/>
    <w:panose1 w:val="00000000000000000000"/>
    <w:charset w:val="80"/>
    <w:family w:val="auto"/>
    <w:notTrueType/>
    <w:pitch w:val="default"/>
    <w:sig w:usb0="00000001" w:usb1="08070000" w:usb2="00000010" w:usb3="00000000" w:csb0="00020000" w:csb1="00000000"/>
  </w:font>
  <w:font w:name="ShinGoPr5-Medium">
    <w:altName w:val="Arial Unicode MS"/>
    <w:panose1 w:val="00000000000000000000"/>
    <w:charset w:val="80"/>
    <w:family w:val="auto"/>
    <w:notTrueType/>
    <w:pitch w:val="default"/>
    <w:sig w:usb0="00000001" w:usb1="08070000" w:usb2="00000010" w:usb3="00000000" w:csb0="00020000" w:csb1="00000000"/>
  </w:font>
  <w:font w:name="ShinGoPr5-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0E"/>
    <w:rsid w:val="0001410D"/>
    <w:rsid w:val="001A642A"/>
    <w:rsid w:val="004C2B37"/>
    <w:rsid w:val="0057052D"/>
    <w:rsid w:val="007A650E"/>
    <w:rsid w:val="008254F3"/>
    <w:rsid w:val="00A33A37"/>
    <w:rsid w:val="00AE48EF"/>
    <w:rsid w:val="00B54CB9"/>
    <w:rsid w:val="00E8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EE06D4-9BC3-4AB2-B89C-8B09C244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C14-2067</dc:creator>
  <cp:keywords/>
  <dc:description/>
  <cp:lastModifiedBy>C14-2067</cp:lastModifiedBy>
  <cp:revision>1</cp:revision>
  <dcterms:created xsi:type="dcterms:W3CDTF">2015-01-27T06:14:00Z</dcterms:created>
  <dcterms:modified xsi:type="dcterms:W3CDTF">2015-01-27T08:43:00Z</dcterms:modified>
</cp:coreProperties>
</file>